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6"/>
          <w:szCs w:val="36"/>
        </w:rPr>
        <w:t>执行局执行扣车活动“百台计划”顺利完成</w:t>
      </w:r>
    </w:p>
    <w:bookmarkEnd w:id="0"/>
    <w:p>
      <w:r>
        <w:rPr>
          <w:rFonts w:hint="eastAsia" w:ascii="仿宋" w:hAnsi="仿宋" w:eastAsia="仿宋"/>
          <w:sz w:val="32"/>
          <w:szCs w:val="32"/>
        </w:rPr>
        <w:t>我院执行局11月继续执行跨区域扣车活动，其中王洋法官带领的执行四组途径贵阳、成都扣押车辆3台；裴铭浩法官途径烟台、太原，共计3233.3公里；刘世平法官行程1000公里途径辽宁省沈阳市和平区，大连市瓦房店市，沈阳扣押一汽解放车头9台，大连扣押吉普牌suv一台。其中，2022年11月22日我局在瓦房店市开展的扣车工作，车辆的实际控制人有不配合的行为，但经过办案法官刘志平，书记员王吉宁的努力和瓦房店市人民法院法警的配合下，顺利扣回车辆。该台车位百台品牌车扣押拍卖计划的第一百台车辆，我院“百台计划”超额完成。“百台计划”的顺利完成全面维护了辖区企业合法权益，我院也将持续为我区企业保驾护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TJiYzM5YWQ1MTNjMDE3MjQxYWU0OGIyOTFhMTYifQ=="/>
  </w:docVars>
  <w:rsids>
    <w:rsidRoot w:val="7F4313D1"/>
    <w:rsid w:val="7F4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2022-11-30T08:23:00Z</dcterms:created>
  <dc:creator>珊珊</dc:creator>
  <cp:lastModifiedBy>珊珊</cp:lastModifiedBy>
  <dcterms:modified xsi:type="dcterms:W3CDTF">2022-11-30T08:25:01Z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469B4840192A450183BDDBF81826CA10</vt:lpwstr>
  </property>
</Properties>
</file>